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22172">
      <w:pPr>
        <w:tabs>
          <w:tab w:val="center" w:pos="4536"/>
          <w:tab w:val="right" w:pos="9072"/>
        </w:tabs>
        <w:jc w:val="both"/>
        <w:rPr>
          <w:rFonts w:eastAsiaTheme="minorEastAsia"/>
          <w:b/>
          <w:bCs/>
          <w:color w:val="000000" w:themeColor="text1"/>
          <w:sz w:val="28"/>
          <w:highlight w:val="none"/>
          <w:lang w:val="en-US" w:eastAsia="zh-CN"/>
          <w14:textFill>
            <w14:solidFill>
              <w14:schemeClr w14:val="tx1"/>
            </w14:solidFill>
          </w14:textFill>
        </w:rPr>
      </w:pPr>
      <w:bookmarkStart w:id="0" w:name="_Hlk528502858"/>
      <w:r>
        <w:rPr>
          <w:rFonts w:eastAsiaTheme="minorEastAsia"/>
          <w:b/>
          <w:bCs/>
          <w:color w:val="000000" w:themeColor="text1"/>
          <w:sz w:val="28"/>
          <w:highlight w:val="none"/>
          <w:lang w:val="en-US" w:eastAsia="zh-CN"/>
          <w14:textFill>
            <w14:solidFill>
              <w14:schemeClr w14:val="tx1"/>
            </w14:solidFill>
          </w14:textFill>
        </w:rPr>
        <w:t>3GPP TSG RAN Meeting #10</w:t>
      </w:r>
      <w:r>
        <w:rPr>
          <w:rFonts w:hint="eastAsia" w:eastAsiaTheme="minorEastAsia"/>
          <w:b/>
          <w:bCs/>
          <w:color w:val="000000" w:themeColor="text1"/>
          <w:sz w:val="28"/>
          <w:highlight w:val="none"/>
          <w:lang w:val="en-US" w:eastAsia="zh-CN"/>
          <w14:textFill>
            <w14:solidFill>
              <w14:schemeClr w14:val="tx1"/>
            </w14:solidFill>
          </w14:textFill>
        </w:rPr>
        <w:t>9</w:t>
      </w:r>
      <w:r>
        <w:rPr>
          <w:rFonts w:eastAsiaTheme="minorEastAsia"/>
          <w:b/>
          <w:bCs/>
          <w:color w:val="000000" w:themeColor="text1"/>
          <w:sz w:val="28"/>
          <w:highlight w:val="none"/>
          <w:lang w:val="en-US" w:eastAsia="zh-CN"/>
          <w14:textFill>
            <w14:solidFill>
              <w14:schemeClr w14:val="tx1"/>
            </w14:solidFill>
          </w14:textFill>
        </w:rPr>
        <w:tab/>
      </w:r>
      <w:r>
        <w:rPr>
          <w:b/>
          <w:bCs/>
          <w:color w:val="000000" w:themeColor="text1"/>
          <w:sz w:val="28"/>
          <w:highlight w:val="none"/>
          <w14:textFill>
            <w14:solidFill>
              <w14:schemeClr w14:val="tx1"/>
            </w14:solidFill>
          </w14:textFill>
        </w:rPr>
        <w:t xml:space="preserve">                               </w:t>
      </w:r>
      <w:r>
        <w:rPr>
          <w:rFonts w:hint="eastAsia" w:eastAsiaTheme="minorEastAsia"/>
          <w:b/>
          <w:bCs/>
          <w:color w:val="000000" w:themeColor="text1"/>
          <w:sz w:val="28"/>
          <w:highlight w:val="none"/>
          <w:lang w:val="en-US" w:eastAsia="zh-CN"/>
          <w14:textFill>
            <w14:solidFill>
              <w14:schemeClr w14:val="tx1"/>
            </w14:solidFill>
          </w14:textFill>
        </w:rPr>
        <w:t>RP-252179</w:t>
      </w:r>
    </w:p>
    <w:bookmarkEnd w:id="0"/>
    <w:p w14:paraId="1273CBDD">
      <w:pPr>
        <w:jc w:val="both"/>
        <w:rPr>
          <w:rFonts w:eastAsiaTheme="minorEastAsia"/>
          <w:lang w:eastAsia="zh-CN"/>
        </w:rPr>
      </w:pPr>
      <w:r>
        <w:rPr>
          <w:rFonts w:hint="eastAsia" w:eastAsiaTheme="minorEastAsia"/>
          <w:b/>
          <w:bCs/>
          <w:color w:val="000000" w:themeColor="text1"/>
          <w:sz w:val="28"/>
          <w:highlight w:val="none"/>
          <w:lang w:val="en-US" w:eastAsia="zh-CN"/>
          <w14:textFill>
            <w14:solidFill>
              <w14:schemeClr w14:val="tx1"/>
            </w14:solidFill>
          </w14:textFill>
        </w:rPr>
        <w:t>Beijing, China, September 15-18, 2025</w:t>
      </w:r>
      <w:bookmarkStart w:id="9" w:name="_GoBack"/>
    </w:p>
    <w:bookmarkEnd w:id="9"/>
    <w:p w14:paraId="2601E2EF">
      <w:pPr>
        <w:pStyle w:val="104"/>
        <w:spacing w:after="0"/>
        <w:rPr>
          <w:rFonts w:ascii="Times New Roman" w:hAnsi="Times New Roman"/>
          <w:sz w:val="24"/>
          <w:szCs w:val="24"/>
          <w:lang w:val="en-US"/>
        </w:rPr>
      </w:pPr>
      <w:bookmarkStart w:id="1" w:name="OLE_LINK4"/>
      <w:bookmarkStart w:id="2" w:name="OLE_LINK3"/>
    </w:p>
    <w:p w14:paraId="7F608C56">
      <w:pPr>
        <w:pStyle w:val="104"/>
        <w:spacing w:after="0"/>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Pengcheng Laboratory</w:t>
      </w:r>
    </w:p>
    <w:p w14:paraId="35F4C225">
      <w:pPr>
        <w:pStyle w:val="104"/>
        <w:spacing w:after="0"/>
        <w:ind w:left="1699" w:hanging="1699" w:hangingChars="705"/>
        <w:rPr>
          <w:rFonts w:ascii="Times New Roman" w:hAnsi="Times New Roman"/>
          <w:color w:val="FF0000"/>
          <w:sz w:val="24"/>
          <w:szCs w:val="24"/>
          <w:highlight w:val="yellow"/>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eastAsia="zh-CN"/>
        </w:rPr>
        <w:t>Discussion on supporting asymmetric UL/DL services</w:t>
      </w:r>
    </w:p>
    <w:p w14:paraId="09C8C582">
      <w:pPr>
        <w:pStyle w:val="104"/>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8.2.1.4</w:t>
      </w:r>
    </w:p>
    <w:p w14:paraId="764DCB50">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hint="eastAsia" w:ascii="Times New Roman" w:hAnsi="Times New Roman"/>
          <w:sz w:val="24"/>
          <w:szCs w:val="24"/>
          <w:lang w:eastAsia="zh-CN"/>
        </w:rPr>
        <w:t>Discussion</w:t>
      </w:r>
    </w:p>
    <w:bookmarkEnd w:id="1"/>
    <w:bookmarkEnd w:id="2"/>
    <w:p w14:paraId="217DBA05">
      <w:pPr>
        <w:pStyle w:val="2"/>
        <w:rPr>
          <w:lang w:val="en-US"/>
        </w:rPr>
      </w:pPr>
      <w:bookmarkStart w:id="5" w:name="_Hlk155342702"/>
      <w:r>
        <w:rPr>
          <w:lang w:val="en-US"/>
        </w:rPr>
        <w:t>1</w:t>
      </w:r>
      <w:r>
        <w:rPr>
          <w:lang w:val="en-US"/>
        </w:rPr>
        <w:tab/>
      </w:r>
      <w:r>
        <w:rPr>
          <w:lang w:val="en-US"/>
        </w:rPr>
        <w:t>Introduction</w:t>
      </w:r>
    </w:p>
    <w:p w14:paraId="6F561254">
      <w:pPr>
        <w:rPr>
          <w:sz w:val="21"/>
          <w:szCs w:val="21"/>
          <w:lang w:eastAsia="zh-CN"/>
        </w:rPr>
      </w:pPr>
      <w:r>
        <w:rPr>
          <w:rFonts w:eastAsiaTheme="minorEastAsia"/>
          <w:sz w:val="21"/>
          <w:szCs w:val="21"/>
          <w:lang w:eastAsia="zh-CN"/>
        </w:rPr>
        <w:t>A RAN-level study on “6G Scenarios and requirements” was approved in RAN#107[1]</w:t>
      </w:r>
      <w:r>
        <w:rPr>
          <w:sz w:val="21"/>
          <w:szCs w:val="21"/>
          <w:lang w:eastAsia="zh-CN"/>
        </w:rPr>
        <w:t>. Regarding the services in the scenario, the objective of this SID includes:</w:t>
      </w:r>
    </w:p>
    <w:p w14:paraId="540A096A">
      <w:pPr>
        <w:spacing w:after="0"/>
        <w:rPr>
          <w:bCs/>
          <w:i/>
          <w:iCs/>
          <w:sz w:val="21"/>
          <w:szCs w:val="21"/>
        </w:rPr>
      </w:pPr>
      <w:r>
        <w:rPr>
          <w:bCs/>
          <w:i/>
          <w:iCs/>
          <w:sz w:val="21"/>
          <w:szCs w:val="21"/>
        </w:rPr>
        <w:t xml:space="preserve">This study item aims to </w:t>
      </w:r>
    </w:p>
    <w:p w14:paraId="20180CBD">
      <w:pPr>
        <w:numPr>
          <w:ilvl w:val="0"/>
          <w:numId w:val="6"/>
        </w:numPr>
        <w:overflowPunct w:val="0"/>
        <w:spacing w:after="0"/>
        <w:contextualSpacing/>
        <w:textAlignment w:val="baseline"/>
        <w:rPr>
          <w:rFonts w:eastAsia="等线"/>
          <w:i/>
          <w:iCs/>
          <w:sz w:val="21"/>
          <w:szCs w:val="21"/>
          <w:lang w:eastAsia="en-GB"/>
        </w:rPr>
      </w:pPr>
      <w:r>
        <w:rPr>
          <w:rFonts w:eastAsia="等线"/>
          <w:i/>
          <w:iCs/>
          <w:sz w:val="21"/>
          <w:szCs w:val="21"/>
          <w:lang w:eastAsia="en-GB"/>
        </w:rPr>
        <w:t>investigate a candidate set of items for minimum TPRs based on the Recommendation ITU-R M.2160, and</w:t>
      </w:r>
      <w:r>
        <w:rPr>
          <w:rFonts w:eastAsia="等线"/>
          <w:i/>
          <w:iCs/>
          <w:sz w:val="21"/>
          <w:szCs w:val="21"/>
          <w:lang w:eastAsia="zh-CN"/>
        </w:rPr>
        <w:t>, where applicable,</w:t>
      </w:r>
      <w:r>
        <w:rPr>
          <w:rFonts w:eastAsia="等线"/>
          <w:i/>
          <w:iCs/>
          <w:sz w:val="21"/>
          <w:szCs w:val="21"/>
          <w:lang w:eastAsia="en-GB"/>
        </w:rPr>
        <w:t xml:space="preserve"> the associated target values </w:t>
      </w:r>
      <w:r>
        <w:rPr>
          <w:rFonts w:eastAsia="等线"/>
          <w:i/>
          <w:iCs/>
          <w:sz w:val="21"/>
          <w:szCs w:val="21"/>
          <w:lang w:eastAsia="zh-CN"/>
        </w:rPr>
        <w:t xml:space="preserve">and key assumptions </w:t>
      </w:r>
      <w:r>
        <w:rPr>
          <w:rFonts w:eastAsia="等线"/>
          <w:i/>
          <w:iCs/>
          <w:sz w:val="21"/>
          <w:szCs w:val="21"/>
          <w:lang w:eastAsia="en-GB"/>
        </w:rPr>
        <w:t>for the identified minimum TPRs.</w:t>
      </w:r>
    </w:p>
    <w:p w14:paraId="55AD7158">
      <w:pPr>
        <w:numPr>
          <w:ilvl w:val="1"/>
          <w:numId w:val="6"/>
        </w:numPr>
        <w:overflowPunct w:val="0"/>
        <w:spacing w:after="0"/>
        <w:contextualSpacing/>
        <w:textAlignment w:val="baseline"/>
        <w:rPr>
          <w:rFonts w:eastAsia="等线"/>
          <w:i/>
          <w:iCs/>
          <w:sz w:val="21"/>
          <w:szCs w:val="21"/>
          <w:lang w:eastAsia="en-GB"/>
        </w:rPr>
      </w:pPr>
      <w:r>
        <w:rPr>
          <w:rFonts w:eastAsia="等线"/>
          <w:i/>
          <w:iCs/>
          <w:sz w:val="21"/>
          <w:szCs w:val="21"/>
          <w:lang w:eastAsia="en-GB"/>
        </w:rPr>
        <w:t xml:space="preserve">The outcome is expected to be shared </w:t>
      </w:r>
      <w:r>
        <w:rPr>
          <w:rFonts w:eastAsia="等线"/>
          <w:i/>
          <w:iCs/>
          <w:sz w:val="21"/>
          <w:szCs w:val="21"/>
          <w:lang w:eastAsia="zh-CN"/>
        </w:rPr>
        <w:t xml:space="preserve">by LS </w:t>
      </w:r>
      <w:r>
        <w:rPr>
          <w:rFonts w:eastAsia="等线"/>
          <w:i/>
          <w:iCs/>
          <w:sz w:val="21"/>
          <w:szCs w:val="21"/>
          <w:lang w:eastAsia="en-GB"/>
        </w:rPr>
        <w:t>with ITU-R WP5D, as suitable, and used as a baseline for the subsequent study 6G in RAN</w:t>
      </w:r>
    </w:p>
    <w:p w14:paraId="79E23021">
      <w:pPr>
        <w:numPr>
          <w:ilvl w:val="0"/>
          <w:numId w:val="6"/>
        </w:numPr>
        <w:overflowPunct w:val="0"/>
        <w:contextualSpacing/>
        <w:textAlignment w:val="baseline"/>
        <w:rPr>
          <w:rFonts w:eastAsia="等线"/>
          <w:i/>
          <w:iCs/>
          <w:sz w:val="21"/>
          <w:szCs w:val="21"/>
          <w:lang w:eastAsia="en-GB"/>
        </w:rPr>
      </w:pPr>
      <w:r>
        <w:rPr>
          <w:rFonts w:eastAsia="等线"/>
          <w:i/>
          <w:iCs/>
          <w:sz w:val="21"/>
          <w:szCs w:val="21"/>
          <w:lang w:eastAsia="en-GB"/>
        </w:rPr>
        <w:t>Identify typical and practical deployment scenarios defined by attributes such as carrier frequency, inter-site distance, user density, maximum mobility speed, and other relevant factors.</w:t>
      </w:r>
    </w:p>
    <w:p w14:paraId="755D6928">
      <w:pPr>
        <w:numPr>
          <w:ilvl w:val="0"/>
          <w:numId w:val="6"/>
        </w:numPr>
        <w:overflowPunct w:val="0"/>
        <w:contextualSpacing/>
        <w:textAlignment w:val="baseline"/>
        <w:rPr>
          <w:rFonts w:eastAsia="等线"/>
          <w:bCs/>
          <w:i/>
          <w:iCs/>
          <w:sz w:val="21"/>
          <w:szCs w:val="21"/>
          <w:lang w:eastAsia="en-GB"/>
        </w:rPr>
      </w:pPr>
      <w:r>
        <w:rPr>
          <w:rFonts w:eastAsia="等线"/>
          <w:i/>
          <w:iCs/>
          <w:sz w:val="21"/>
          <w:szCs w:val="21"/>
          <w:lang w:eastAsia="en-GB"/>
        </w:rPr>
        <w:t xml:space="preserve">Develop 3GPP requirements for 6G Radio for </w:t>
      </w:r>
      <w:r>
        <w:rPr>
          <w:rFonts w:eastAsia="等线"/>
          <w:b/>
          <w:bCs/>
          <w:i/>
          <w:iCs/>
          <w:sz w:val="21"/>
          <w:szCs w:val="21"/>
          <w:lang w:eastAsia="en-GB"/>
        </w:rPr>
        <w:t>improvement of existing services and for new services.</w:t>
      </w:r>
    </w:p>
    <w:p w14:paraId="1B981773">
      <w:pPr>
        <w:numPr>
          <w:ilvl w:val="0"/>
          <w:numId w:val="6"/>
        </w:numPr>
        <w:overflowPunct w:val="0"/>
        <w:contextualSpacing/>
        <w:textAlignment w:val="baseline"/>
        <w:rPr>
          <w:rFonts w:eastAsia="等线"/>
          <w:i/>
          <w:iCs/>
          <w:sz w:val="21"/>
          <w:szCs w:val="21"/>
          <w:lang w:eastAsia="en-GB"/>
        </w:rPr>
      </w:pPr>
      <w:bookmarkStart w:id="6" w:name="OLE_LINK1"/>
      <w:r>
        <w:rPr>
          <w:rFonts w:eastAsia="等线"/>
          <w:i/>
          <w:iCs/>
          <w:sz w:val="21"/>
          <w:szCs w:val="21"/>
          <w:lang w:eastAsia="en-GB"/>
        </w:rPr>
        <w:t xml:space="preserve">Determine the applicability of </w:t>
      </w:r>
      <w:r>
        <w:rPr>
          <w:rFonts w:eastAsia="等线"/>
          <w:b/>
          <w:bCs/>
          <w:i/>
          <w:iCs/>
          <w:sz w:val="21"/>
          <w:szCs w:val="21"/>
          <w:lang w:eastAsia="en-GB"/>
        </w:rPr>
        <w:t>legacy services</w:t>
      </w:r>
      <w:r>
        <w:rPr>
          <w:rFonts w:eastAsia="等线"/>
          <w:i/>
          <w:iCs/>
          <w:sz w:val="21"/>
          <w:szCs w:val="21"/>
          <w:lang w:eastAsia="en-GB"/>
        </w:rPr>
        <w:t xml:space="preserve"> to 6G Radio, and define radio requirements for these, as appropriate.</w:t>
      </w:r>
      <w:bookmarkEnd w:id="6"/>
    </w:p>
    <w:p w14:paraId="34C84A41">
      <w:pPr>
        <w:numPr>
          <w:ilvl w:val="0"/>
          <w:numId w:val="6"/>
        </w:numPr>
        <w:overflowPunct w:val="0"/>
        <w:contextualSpacing/>
        <w:textAlignment w:val="baseline"/>
        <w:rPr>
          <w:rFonts w:eastAsia="等线"/>
          <w:i/>
          <w:iCs/>
          <w:sz w:val="21"/>
          <w:szCs w:val="21"/>
          <w:lang w:eastAsia="en-GB"/>
        </w:rPr>
      </w:pPr>
      <w:r>
        <w:rPr>
          <w:rFonts w:eastAsia="等线"/>
          <w:i/>
          <w:iCs/>
          <w:sz w:val="21"/>
          <w:szCs w:val="21"/>
          <w:lang w:eastAsia="en-GB"/>
        </w:rPr>
        <w:t>…..</w:t>
      </w:r>
    </w:p>
    <w:p w14:paraId="02D5714A">
      <w:pPr>
        <w:overflowPunct w:val="0"/>
        <w:ind w:left="720"/>
        <w:contextualSpacing/>
        <w:textAlignment w:val="baseline"/>
        <w:rPr>
          <w:rFonts w:eastAsia="等线"/>
          <w:i/>
          <w:iCs/>
          <w:sz w:val="21"/>
          <w:szCs w:val="21"/>
        </w:rPr>
      </w:pPr>
    </w:p>
    <w:p w14:paraId="5167D6E9">
      <w:pPr>
        <w:tabs>
          <w:tab w:val="left" w:pos="90"/>
          <w:tab w:val="left" w:pos="1868"/>
          <w:tab w:val="right" w:pos="10648"/>
        </w:tabs>
        <w:autoSpaceDE w:val="0"/>
        <w:autoSpaceDN w:val="0"/>
        <w:adjustRightInd w:val="0"/>
        <w:snapToGrid w:val="0"/>
        <w:spacing w:after="120" w:afterLines="50"/>
        <w:rPr>
          <w:rFonts w:eastAsia="微软雅黑"/>
          <w:lang w:val="en-US" w:eastAsia="zh-CN"/>
        </w:rPr>
      </w:pPr>
      <w:r>
        <w:rPr>
          <w:rFonts w:eastAsia="微软雅黑"/>
        </w:rPr>
        <w:t>In RAN#10</w:t>
      </w:r>
      <w:r>
        <w:rPr>
          <w:rFonts w:hint="eastAsia" w:eastAsia="微软雅黑"/>
          <w:lang w:val="en-US" w:eastAsia="zh-CN"/>
        </w:rPr>
        <w:t>8</w:t>
      </w:r>
      <w:r>
        <w:rPr>
          <w:rFonts w:eastAsia="微软雅黑"/>
        </w:rPr>
        <w:t xml:space="preserve"> meeting</w:t>
      </w:r>
      <w:r>
        <w:t xml:space="preserve">, the 6G SID “New SID: Study on 6G Radio” was approved </w:t>
      </w:r>
      <w:r>
        <w:rPr>
          <w:highlight w:val="cyan"/>
        </w:rPr>
        <w:fldChar w:fldCharType="begin"/>
      </w:r>
      <w:r>
        <w:instrText xml:space="preserve"> REF _Ref205756399 \r \h </w:instrText>
      </w:r>
      <w:r>
        <w:rPr>
          <w:highlight w:val="cyan"/>
        </w:rPr>
        <w:fldChar w:fldCharType="separate"/>
      </w:r>
      <w:r>
        <w:t>[</w:t>
      </w:r>
      <w:r>
        <w:rPr>
          <w:rFonts w:hint="eastAsia"/>
          <w:lang w:eastAsia="zh-CN"/>
        </w:rPr>
        <w:t>2</w:t>
      </w:r>
      <w:r>
        <w:t>]</w:t>
      </w:r>
      <w:r>
        <w:rPr>
          <w:highlight w:val="cyan"/>
        </w:rPr>
        <w:fldChar w:fldCharType="end"/>
      </w:r>
      <w:r>
        <w:t>.</w:t>
      </w:r>
      <w:r>
        <w:rPr>
          <w:rFonts w:eastAsia="微软雅黑"/>
        </w:rPr>
        <w:t xml:space="preserve"> </w:t>
      </w:r>
      <w:r>
        <w:rPr>
          <w:rFonts w:hint="eastAsia" w:eastAsia="微软雅黑"/>
          <w:lang w:val="en-US" w:eastAsia="zh-CN"/>
        </w:rPr>
        <w:t>The new and existing services related to corresponding scenarios and requirements should be a crucial part of the study.</w:t>
      </w:r>
    </w:p>
    <w:p w14:paraId="17AC76E0">
      <w:pPr>
        <w:tabs>
          <w:tab w:val="left" w:pos="90"/>
          <w:tab w:val="left" w:pos="1868"/>
          <w:tab w:val="right" w:pos="10648"/>
        </w:tabs>
        <w:autoSpaceDE w:val="0"/>
        <w:autoSpaceDN w:val="0"/>
        <w:adjustRightInd w:val="0"/>
        <w:snapToGrid w:val="0"/>
        <w:spacing w:after="120" w:afterLines="50"/>
      </w:pPr>
      <w:r>
        <w:rPr>
          <w:rFonts w:hint="eastAsia"/>
        </w:rPr>
        <w:t xml:space="preserve">In this contribution, we propose our views on </w:t>
      </w:r>
      <w:r>
        <w:rPr>
          <w:lang w:eastAsia="zh-CN"/>
        </w:rPr>
        <w:t>supporting</w:t>
      </w:r>
      <w:r>
        <w:rPr>
          <w:rFonts w:hint="eastAsia"/>
          <w:lang w:eastAsia="zh-CN"/>
        </w:rPr>
        <w:t xml:space="preserve"> </w:t>
      </w:r>
      <w:r>
        <w:rPr>
          <w:rFonts w:hint="eastAsia"/>
        </w:rPr>
        <w:t xml:space="preserve">asymmetric UL/DL </w:t>
      </w:r>
      <w:r>
        <w:rPr>
          <w:rFonts w:hint="eastAsia"/>
          <w:lang w:eastAsia="zh-CN"/>
        </w:rPr>
        <w:t>services in 6G</w:t>
      </w:r>
      <w:r>
        <w:rPr>
          <w:rFonts w:hint="eastAsia"/>
        </w:rPr>
        <w:t xml:space="preserve">, especially </w:t>
      </w:r>
      <w:r>
        <w:rPr>
          <w:rFonts w:hint="eastAsia"/>
          <w:lang w:eastAsia="zh-CN"/>
        </w:rPr>
        <w:t xml:space="preserve">considering the scenarios </w:t>
      </w:r>
      <w:r>
        <w:rPr>
          <w:rFonts w:hint="eastAsia"/>
        </w:rPr>
        <w:t>vertical industr</w:t>
      </w:r>
      <w:r>
        <w:rPr>
          <w:rFonts w:hint="eastAsia"/>
          <w:lang w:eastAsia="zh-CN"/>
        </w:rPr>
        <w:t>y where UL traffic is dominant. B</w:t>
      </w:r>
      <w:r>
        <w:rPr>
          <w:rFonts w:hint="eastAsia"/>
        </w:rPr>
        <w:t>ased on</w:t>
      </w:r>
      <w:r>
        <w:rPr>
          <w:rFonts w:hint="eastAsia"/>
          <w:lang w:eastAsia="zh-CN"/>
        </w:rPr>
        <w:t xml:space="preserve"> the</w:t>
      </w:r>
      <w:r>
        <w:rPr>
          <w:rFonts w:hint="eastAsia"/>
        </w:rPr>
        <w:t xml:space="preserve"> UL/DL decoupling</w:t>
      </w:r>
      <w:r>
        <w:rPr>
          <w:rFonts w:hint="eastAsia"/>
          <w:lang w:eastAsia="zh-CN"/>
        </w:rPr>
        <w:t>, 6G can</w:t>
      </w:r>
      <w:r>
        <w:rPr>
          <w:rFonts w:hint="eastAsia"/>
        </w:rPr>
        <w:t xml:space="preserve"> provide flexible</w:t>
      </w:r>
      <w:r>
        <w:rPr>
          <w:rFonts w:hint="eastAsia"/>
          <w:lang w:eastAsia="zh-CN"/>
        </w:rPr>
        <w:t xml:space="preserve">, </w:t>
      </w:r>
      <w:r>
        <w:rPr>
          <w:rFonts w:hint="eastAsia"/>
        </w:rPr>
        <w:t>low</w:t>
      </w:r>
      <w:r>
        <w:rPr>
          <w:rFonts w:hint="eastAsia"/>
          <w:lang w:eastAsia="zh-CN"/>
        </w:rPr>
        <w:t>-</w:t>
      </w:r>
      <w:r>
        <w:rPr>
          <w:rFonts w:hint="eastAsia"/>
        </w:rPr>
        <w:t xml:space="preserve">cost </w:t>
      </w:r>
      <w:r>
        <w:rPr>
          <w:rFonts w:hint="eastAsia"/>
          <w:lang w:eastAsia="zh-CN"/>
        </w:rPr>
        <w:t xml:space="preserve">network deployment </w:t>
      </w:r>
      <w:r>
        <w:rPr>
          <w:rFonts w:hint="eastAsia"/>
        </w:rPr>
        <w:t xml:space="preserve">and on-demand </w:t>
      </w:r>
      <w:r>
        <w:rPr>
          <w:rFonts w:hint="eastAsia"/>
          <w:lang w:eastAsia="zh-CN"/>
        </w:rPr>
        <w:t>spectrum utilization</w:t>
      </w:r>
      <w:r>
        <w:rPr>
          <w:rFonts w:hint="eastAsia"/>
        </w:rPr>
        <w:t xml:space="preserve">. </w:t>
      </w:r>
    </w:p>
    <w:p w14:paraId="4E592BC4">
      <w:pPr>
        <w:tabs>
          <w:tab w:val="left" w:pos="90"/>
          <w:tab w:val="left" w:pos="1868"/>
          <w:tab w:val="right" w:pos="10648"/>
        </w:tabs>
        <w:autoSpaceDE w:val="0"/>
        <w:autoSpaceDN w:val="0"/>
        <w:adjustRightInd w:val="0"/>
        <w:snapToGrid w:val="0"/>
        <w:spacing w:after="120" w:afterLines="50"/>
      </w:pPr>
    </w:p>
    <w:p w14:paraId="4DF0E77A">
      <w:pPr>
        <w:pStyle w:val="2"/>
        <w:rPr>
          <w:lang w:val="en-US" w:eastAsia="zh-CN"/>
        </w:rPr>
      </w:pPr>
      <w:r>
        <w:rPr>
          <w:rFonts w:hint="eastAsia"/>
          <w:lang w:val="en-US" w:eastAsia="zh-CN"/>
        </w:rPr>
        <w:t>2</w:t>
      </w:r>
      <w:r>
        <w:rPr>
          <w:lang w:val="en-US"/>
        </w:rPr>
        <w:tab/>
      </w:r>
      <w:r>
        <w:rPr>
          <w:rFonts w:hint="eastAsia"/>
          <w:lang w:val="en-US" w:eastAsia="zh-CN"/>
        </w:rPr>
        <w:t>Discussion</w:t>
      </w:r>
    </w:p>
    <w:p w14:paraId="2DED1507">
      <w:pPr>
        <w:rPr>
          <w:lang w:val="en-US" w:eastAsia="zh-CN"/>
        </w:rPr>
      </w:pPr>
      <w:r>
        <w:rPr>
          <w:rFonts w:hint="eastAsia"/>
          <w:lang w:val="en-US" w:eastAsia="zh-CN"/>
        </w:rPr>
        <w:t>With the growing adoption of 5G in vertical industries, several pain points and new requirements have emerged. For instance, in vertical sectors with highly differentiated demands, the uplink and downlink requirements often differ significantly from existing network designs, exhibiting strong asymmetry. The 6G Radio Access Network (RAN) should take these key industry requirements into account, focusing on flexibility, cost efficiency, and support for on-demand deployments.</w:t>
      </w:r>
    </w:p>
    <w:p w14:paraId="7B4C81FC">
      <w:pPr>
        <w:rPr>
          <w:lang w:val="en-US" w:eastAsia="zh-CN"/>
        </w:rPr>
      </w:pPr>
      <w:r>
        <w:rPr>
          <w:rFonts w:hint="eastAsia"/>
          <w:lang w:val="en-US" w:eastAsia="zh-CN"/>
        </w:rPr>
        <w:t>In specific vertical scenarios such as smart factories, the demands for downlink (DL) and uplink (UL) can be highly asymmetric. For example, a large number of IoT devices may require frequent uplink data transmission for real-time monitoring and reporting, while their downlink traffic is minimal, consisting of only periodic small control or update packets. Similarly, in low-</w:t>
      </w:r>
      <w:r>
        <w:rPr>
          <w:lang w:val="en-US" w:eastAsia="zh-CN"/>
        </w:rPr>
        <w:t>altitude</w:t>
      </w:r>
      <w:r>
        <w:rPr>
          <w:rFonts w:hint="eastAsia"/>
          <w:lang w:val="en-US" w:eastAsia="zh-CN"/>
        </w:rPr>
        <w:t xml:space="preserve"> communication scenarios, uplink may need to support high-bandwidth data streams for real-time video transmission from UAVs, while the downlink primarily delivers lightweight but time-critical </w:t>
      </w:r>
      <w:r>
        <w:rPr>
          <w:lang w:val="en-US" w:eastAsia="zh-CN"/>
        </w:rPr>
        <w:t>command</w:t>
      </w:r>
      <w:r>
        <w:rPr>
          <w:rFonts w:hint="eastAsia"/>
          <w:lang w:val="en-US" w:eastAsia="zh-CN"/>
        </w:rPr>
        <w:t xml:space="preserve"> and control signals. This asymmetry of UL/DL traffic highlights the need for the 6G RAN to support more flexible deployment and spectrum utilization, e.g., through UL/DL decoupling. </w:t>
      </w:r>
    </w:p>
    <w:p w14:paraId="60D784EB">
      <w:pPr>
        <w:snapToGrid w:val="0"/>
        <w:spacing w:after="120" w:afterLines="50"/>
        <w:textAlignment w:val="center"/>
        <w:rPr>
          <w:i/>
          <w:lang w:val="en-US" w:eastAsia="zh-CN"/>
        </w:rPr>
      </w:pPr>
      <w:r>
        <w:rPr>
          <w:b/>
          <w:bCs/>
          <w:i/>
          <w:u w:val="single"/>
          <w:lang w:val="en-US" w:eastAsia="zh-CN"/>
        </w:rPr>
        <w:t>Observation 1</w:t>
      </w:r>
      <w:r>
        <w:rPr>
          <w:i/>
          <w:lang w:val="en-US" w:eastAsia="zh-CN"/>
        </w:rPr>
        <w:t>: In vertical industries, uplink (UL) and downlink (DL) requirements are often highly asymmetric</w:t>
      </w:r>
      <w:r>
        <w:rPr>
          <w:rFonts w:hint="eastAsia"/>
          <w:i/>
          <w:lang w:val="en-US" w:eastAsia="zh-CN"/>
        </w:rPr>
        <w:t>，especially with more diverse potential 6G enabled applications</w:t>
      </w:r>
      <w:r>
        <w:rPr>
          <w:i/>
          <w:lang w:val="en-US" w:eastAsia="zh-CN"/>
        </w:rPr>
        <w:t xml:space="preserve">. Existing solutions lack the spectrum utilization </w:t>
      </w:r>
      <w:r>
        <w:rPr>
          <w:rFonts w:hint="eastAsia"/>
          <w:i/>
          <w:lang w:val="en-US" w:eastAsia="zh-CN"/>
        </w:rPr>
        <w:t xml:space="preserve"> </w:t>
      </w:r>
      <w:r>
        <w:rPr>
          <w:i/>
          <w:lang w:val="en-US" w:eastAsia="zh-CN"/>
        </w:rPr>
        <w:t xml:space="preserve">flexibility </w:t>
      </w:r>
      <w:r>
        <w:rPr>
          <w:rFonts w:hint="eastAsia"/>
          <w:i/>
          <w:lang w:val="en-US" w:eastAsia="zh-CN"/>
        </w:rPr>
        <w:t>in and network deployment</w:t>
      </w:r>
      <w:r>
        <w:rPr>
          <w:i/>
          <w:lang w:val="en-US" w:eastAsia="zh-CN"/>
        </w:rPr>
        <w:t xml:space="preserve"> adaptability, and </w:t>
      </w:r>
      <w:r>
        <w:rPr>
          <w:rFonts w:hint="eastAsia"/>
          <w:i/>
          <w:lang w:val="en-US" w:eastAsia="zh-CN"/>
        </w:rPr>
        <w:t xml:space="preserve">will incur </w:t>
      </w:r>
      <w:r>
        <w:rPr>
          <w:i/>
          <w:lang w:val="en-US" w:eastAsia="zh-CN"/>
        </w:rPr>
        <w:t xml:space="preserve">cost </w:t>
      </w:r>
      <w:r>
        <w:rPr>
          <w:rFonts w:hint="eastAsia"/>
          <w:i/>
          <w:lang w:val="en-US" w:eastAsia="zh-CN"/>
        </w:rPr>
        <w:t>burden</w:t>
      </w:r>
      <w:r>
        <w:rPr>
          <w:i/>
          <w:lang w:val="en-US" w:eastAsia="zh-CN"/>
        </w:rPr>
        <w:t xml:space="preserve"> under these conditions. To address these challenges, the 6G Radio Access Network (RAN) should support more advanced and flexible designs, including uplink/downlink (UL/DL) decoupling, to better meet the diverse and dynamic needs of vertical industries.</w:t>
      </w:r>
    </w:p>
    <w:p w14:paraId="471311DF">
      <w:pPr>
        <w:snapToGrid w:val="0"/>
        <w:spacing w:after="120" w:afterLines="50"/>
        <w:textAlignment w:val="center"/>
        <w:rPr>
          <w:lang w:val="en-US" w:eastAsia="zh-CN"/>
        </w:rPr>
      </w:pPr>
      <w:r>
        <w:rPr>
          <w:b/>
          <w:bCs/>
          <w:i/>
          <w:u w:val="single"/>
          <w:lang w:val="en-US" w:eastAsia="zh-CN"/>
        </w:rPr>
        <w:t xml:space="preserve">Proposal 1: </w:t>
      </w:r>
      <w:r>
        <w:rPr>
          <w:rFonts w:hint="eastAsia"/>
          <w:b/>
          <w:bCs/>
          <w:i/>
          <w:lang w:val="en-US" w:eastAsia="zh-CN"/>
        </w:rPr>
        <w:t>T</w:t>
      </w:r>
      <w:r>
        <w:rPr>
          <w:b/>
          <w:bCs/>
          <w:i/>
          <w:lang w:val="en-US" w:eastAsia="zh-CN"/>
        </w:rPr>
        <w:t xml:space="preserve">he 6G Radio Access Network (RAN) should </w:t>
      </w:r>
      <w:r>
        <w:rPr>
          <w:rFonts w:hint="eastAsia"/>
          <w:b/>
          <w:bCs/>
          <w:i/>
          <w:lang w:val="en-US" w:eastAsia="zh-CN"/>
        </w:rPr>
        <w:t>support asymmetric UL/DL services with</w:t>
      </w:r>
      <w:r>
        <w:rPr>
          <w:b/>
          <w:bCs/>
          <w:i/>
          <w:lang w:val="en-US" w:eastAsia="zh-CN"/>
        </w:rPr>
        <w:t xml:space="preserve"> more flexible designs</w:t>
      </w:r>
      <w:r>
        <w:rPr>
          <w:rFonts w:hint="eastAsia"/>
          <w:b/>
          <w:bCs/>
          <w:i/>
          <w:lang w:val="en-US" w:eastAsia="zh-CN"/>
        </w:rPr>
        <w:t>, such as</w:t>
      </w:r>
      <w:r>
        <w:rPr>
          <w:b/>
          <w:bCs/>
          <w:i/>
          <w:lang w:val="en-US" w:eastAsia="zh-CN"/>
        </w:rPr>
        <w:t xml:space="preserve"> uplink/downlink (UL/DL) decoupling.</w:t>
      </w:r>
    </w:p>
    <w:p w14:paraId="41A1846F">
      <w:pPr>
        <w:spacing w:beforeLines="50" w:after="120" w:afterLines="50"/>
        <w:jc w:val="both"/>
        <w:rPr>
          <w:lang w:val="en-US" w:eastAsia="zh-CN"/>
        </w:rPr>
      </w:pPr>
    </w:p>
    <w:bookmarkEnd w:id="5"/>
    <w:p w14:paraId="6C6269CB">
      <w:pPr>
        <w:pStyle w:val="2"/>
        <w:rPr>
          <w:lang w:val="en-US"/>
        </w:rPr>
      </w:pPr>
      <w:r>
        <w:rPr>
          <w:rFonts w:hint="eastAsia"/>
          <w:lang w:val="en-US" w:eastAsia="zh-CN"/>
        </w:rPr>
        <w:t>3</w:t>
      </w:r>
      <w:r>
        <w:rPr>
          <w:lang w:val="en-US"/>
        </w:rPr>
        <w:tab/>
      </w:r>
      <w:r>
        <w:rPr>
          <w:rFonts w:hint="eastAsia"/>
          <w:lang w:val="en-US" w:eastAsia="zh-CN"/>
        </w:rPr>
        <w:t xml:space="preserve">Text </w:t>
      </w:r>
      <w:r>
        <w:rPr>
          <w:lang w:val="en-US"/>
        </w:rPr>
        <w:t xml:space="preserve">Proposal </w:t>
      </w:r>
    </w:p>
    <w:p w14:paraId="168177ED">
      <w:pPr>
        <w:jc w:val="both"/>
        <w:rPr>
          <w:lang w:val="en-US" w:eastAsia="zh-CN"/>
        </w:rPr>
      </w:pPr>
      <w:r>
        <w:rPr>
          <w:rFonts w:hint="eastAsia"/>
          <w:lang w:val="en-US" w:eastAsia="zh-CN"/>
        </w:rPr>
        <w:t>Based on above discussion, we p</w:t>
      </w:r>
      <w:r>
        <w:rPr>
          <w:lang w:val="en-US" w:eastAsia="zh-CN"/>
        </w:rPr>
        <w:t>ropose</w:t>
      </w:r>
      <w:r>
        <w:rPr>
          <w:rFonts w:hint="eastAsia"/>
          <w:lang w:val="en-US" w:eastAsia="zh-CN"/>
        </w:rPr>
        <w:t xml:space="preserve"> </w:t>
      </w:r>
      <w:r>
        <w:rPr>
          <w:lang w:val="en-US" w:eastAsia="zh-CN"/>
        </w:rPr>
        <w:t>the</w:t>
      </w:r>
      <w:r>
        <w:rPr>
          <w:rFonts w:hint="eastAsia"/>
          <w:lang w:val="en-US" w:eastAsia="zh-CN"/>
        </w:rPr>
        <w:t xml:space="preserve"> following </w:t>
      </w:r>
      <w:r>
        <w:rPr>
          <w:lang w:val="en-US" w:eastAsia="zh-CN"/>
        </w:rPr>
        <w:t xml:space="preserve">text proposal </w:t>
      </w:r>
      <w:r>
        <w:rPr>
          <w:rFonts w:hint="eastAsia"/>
          <w:lang w:val="en-US" w:eastAsia="zh-CN"/>
        </w:rPr>
        <w:t xml:space="preserve">for </w:t>
      </w:r>
      <w:r>
        <w:rPr>
          <w:lang w:val="en-US" w:eastAsia="zh-CN"/>
        </w:rPr>
        <w:t>TR 38.9</w:t>
      </w:r>
      <w:r>
        <w:rPr>
          <w:rFonts w:hint="eastAsia"/>
          <w:lang w:val="en-US" w:eastAsia="zh-CN"/>
        </w:rPr>
        <w:t>14</w:t>
      </w:r>
      <w:r>
        <w:rPr>
          <w:lang w:val="en-US" w:eastAsia="zh-CN"/>
        </w:rPr>
        <w:t xml:space="preserve"> for</w:t>
      </w:r>
      <w:r>
        <w:rPr>
          <w:rFonts w:hint="eastAsia"/>
          <w:lang w:val="en-US" w:eastAsia="zh-CN"/>
        </w:rPr>
        <w:t xml:space="preserve"> Requirements of new and existing services.</w:t>
      </w:r>
    </w:p>
    <w:p w14:paraId="7FE27737">
      <w:pPr>
        <w:pStyle w:val="3"/>
        <w:rPr>
          <w:rFonts w:eastAsia="Malgun Gothic"/>
          <w:i w:val="0"/>
          <w:iCs w:val="0"/>
          <w:lang w:eastAsia="ko-KR"/>
        </w:rPr>
      </w:pPr>
      <w:r>
        <w:rPr>
          <w:rFonts w:hint="eastAsia"/>
          <w:i w:val="0"/>
          <w:iCs w:val="0"/>
          <w:lang w:val="en-US" w:eastAsia="zh-CN"/>
        </w:rPr>
        <w:t xml:space="preserve">X.x </w:t>
      </w:r>
      <w:r>
        <w:rPr>
          <w:rFonts w:hint="eastAsia" w:eastAsia="Malgun Gothic"/>
          <w:i w:val="0"/>
          <w:iCs w:val="0"/>
          <w:lang w:eastAsia="ko-KR"/>
        </w:rPr>
        <w:t>Requirements of new and existing services</w:t>
      </w:r>
    </w:p>
    <w:p w14:paraId="2E047B0F">
      <w:pPr>
        <w:jc w:val="both"/>
        <w:rPr>
          <w:color w:val="000000" w:themeColor="text1"/>
          <w:lang w:val="en-US" w:eastAsia="zh-CN"/>
          <w14:textFill>
            <w14:solidFill>
              <w14:schemeClr w14:val="tx1"/>
            </w14:solidFill>
          </w14:textFill>
        </w:rPr>
      </w:pPr>
    </w:p>
    <w:p w14:paraId="7CF1AE82">
      <w:pPr>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The 6G Radio Access Network (RAN) shall support asymmetric UL/DL services in vertical scenarios, such as smart factory/IoT and </w:t>
      </w:r>
      <w:r>
        <w:rPr>
          <w:rFonts w:hint="eastAsia"/>
          <w:lang w:val="en-US" w:eastAsia="zh-CN"/>
        </w:rPr>
        <w:t>low-</w:t>
      </w:r>
      <w:r>
        <w:rPr>
          <w:lang w:val="en-US" w:eastAsia="zh-CN"/>
        </w:rPr>
        <w:t>altitude</w:t>
      </w:r>
      <w:r>
        <w:rPr>
          <w:rFonts w:hint="eastAsia"/>
          <w:lang w:val="en-US" w:eastAsia="zh-CN"/>
        </w:rPr>
        <w:t xml:space="preserve"> communication.</w:t>
      </w:r>
      <w:r>
        <w:rPr>
          <w:rFonts w:hint="eastAsia"/>
          <w:color w:val="000000" w:themeColor="text1"/>
          <w:lang w:val="en-US" w:eastAsia="zh-CN"/>
          <w14:textFill>
            <w14:solidFill>
              <w14:schemeClr w14:val="tx1"/>
            </w14:solidFill>
          </w14:textFill>
        </w:rPr>
        <w:t xml:space="preserve"> To achieve this, the 6G RAN shall support flexible designs, such as UL/DL decoupling, to realize efficient spectrum utilization and cost-efficient deployment in these services. </w:t>
      </w:r>
    </w:p>
    <w:p w14:paraId="5EC0BD0B">
      <w:pPr>
        <w:jc w:val="both"/>
        <w:rPr>
          <w:color w:val="FF0000"/>
          <w:lang w:val="en-US" w:eastAsia="zh-CN"/>
        </w:rPr>
      </w:pPr>
    </w:p>
    <w:p w14:paraId="232126BD">
      <w:pPr>
        <w:overflowPunct w:val="0"/>
        <w:autoSpaceDE w:val="0"/>
        <w:autoSpaceDN w:val="0"/>
        <w:adjustRightInd w:val="0"/>
        <w:spacing w:before="0"/>
        <w:textAlignment w:val="baseline"/>
        <w:rPr>
          <w:rFonts w:eastAsia="Malgun Gothic" w:cs="Batang"/>
          <w:lang w:val="en-US" w:eastAsia="zh-CN"/>
        </w:rPr>
      </w:pPr>
    </w:p>
    <w:p w14:paraId="49D7EF09">
      <w:pPr>
        <w:pStyle w:val="2"/>
        <w:rPr>
          <w:lang w:val="en-US"/>
        </w:rPr>
      </w:pPr>
      <w:r>
        <w:rPr>
          <w:rFonts w:hint="eastAsia"/>
          <w:lang w:val="en-US" w:eastAsia="zh-CN"/>
        </w:rPr>
        <w:t>4</w:t>
      </w:r>
      <w:r>
        <w:rPr>
          <w:lang w:val="en-US"/>
        </w:rPr>
        <w:tab/>
      </w:r>
      <w:r>
        <w:rPr>
          <w:lang w:val="en-US"/>
        </w:rPr>
        <w:t>Conclusion</w:t>
      </w:r>
    </w:p>
    <w:p w14:paraId="7BFA05F5">
      <w:pPr>
        <w:rPr>
          <w:lang w:eastAsia="zh-CN"/>
        </w:rPr>
      </w:pPr>
      <w:r>
        <w:rPr>
          <w:lang w:eastAsia="zh-CN"/>
        </w:rPr>
        <w:t>In this contribution</w:t>
      </w:r>
      <w:r>
        <w:rPr>
          <w:rFonts w:hint="eastAsia"/>
          <w:lang w:eastAsia="zh-CN"/>
        </w:rPr>
        <w:t>,</w:t>
      </w:r>
      <w:r>
        <w:rPr>
          <w:lang w:eastAsia="zh-CN"/>
        </w:rPr>
        <w:t xml:space="preserve"> we propose to add the text proposal to TR 38.914.</w:t>
      </w:r>
    </w:p>
    <w:p w14:paraId="41C3721A">
      <w:pPr>
        <w:pStyle w:val="2"/>
        <w:rPr>
          <w:lang w:val="en-US" w:eastAsia="zh-CN"/>
        </w:rPr>
      </w:pPr>
      <w:bookmarkStart w:id="7" w:name="OLE_LINK5"/>
      <w:r>
        <w:rPr>
          <w:lang w:val="en-US" w:eastAsia="zh-CN"/>
        </w:rPr>
        <w:t>References</w:t>
      </w:r>
    </w:p>
    <w:bookmarkEnd w:id="7"/>
    <w:p w14:paraId="01FD3115">
      <w:pPr>
        <w:numPr>
          <w:ilvl w:val="0"/>
          <w:numId w:val="7"/>
        </w:numPr>
        <w:spacing w:after="0"/>
        <w:jc w:val="both"/>
        <w:rPr>
          <w:rFonts w:eastAsia="Batang"/>
          <w:szCs w:val="24"/>
          <w:lang w:val="en-US" w:eastAsia="zh-CN"/>
        </w:rPr>
      </w:pPr>
      <w:r>
        <w:rPr>
          <w:rFonts w:eastAsia="Batang"/>
          <w:szCs w:val="24"/>
          <w:lang w:val="en-US" w:eastAsia="zh-CN"/>
        </w:rPr>
        <w:t>3GPP TR 38.913 V18.0.0 (2024-03)</w:t>
      </w:r>
      <w:r>
        <w:rPr>
          <w:rFonts w:hint="eastAsia" w:eastAsiaTheme="minorEastAsia"/>
          <w:szCs w:val="24"/>
          <w:lang w:val="en-US" w:eastAsia="zh-CN"/>
        </w:rPr>
        <w:t xml:space="preserve"> </w:t>
      </w:r>
      <w:r>
        <w:rPr>
          <w:rFonts w:eastAsiaTheme="minorEastAsia"/>
          <w:szCs w:val="24"/>
          <w:lang w:val="en-US" w:eastAsia="zh-CN"/>
        </w:rPr>
        <w:t>Study on Scenarios and Requirements for</w:t>
      </w:r>
      <w:r>
        <w:rPr>
          <w:rFonts w:hint="eastAsia" w:eastAsiaTheme="minorEastAsia"/>
          <w:szCs w:val="24"/>
          <w:lang w:val="en-US" w:eastAsia="zh-CN"/>
        </w:rPr>
        <w:t xml:space="preserve"> </w:t>
      </w:r>
      <w:r>
        <w:rPr>
          <w:rFonts w:eastAsiaTheme="minorEastAsia"/>
          <w:szCs w:val="24"/>
          <w:lang w:val="en-US" w:eastAsia="zh-CN"/>
        </w:rPr>
        <w:t>Next Generation Access Technologies;</w:t>
      </w:r>
      <w:r>
        <w:rPr>
          <w:rFonts w:hint="eastAsia" w:eastAsiaTheme="minorEastAsia"/>
          <w:szCs w:val="24"/>
          <w:lang w:val="en-US" w:eastAsia="zh-CN"/>
        </w:rPr>
        <w:t xml:space="preserve"> </w:t>
      </w:r>
      <w:r>
        <w:rPr>
          <w:rFonts w:eastAsiaTheme="minorEastAsia"/>
          <w:szCs w:val="24"/>
          <w:lang w:val="en-US" w:eastAsia="zh-CN"/>
        </w:rPr>
        <w:t>(Release 18)</w:t>
      </w:r>
      <w:r>
        <w:rPr>
          <w:rFonts w:hint="eastAsia" w:eastAsiaTheme="minorEastAsia"/>
          <w:szCs w:val="24"/>
          <w:lang w:val="en-US" w:eastAsia="zh-CN"/>
        </w:rPr>
        <w:t>.</w:t>
      </w:r>
      <w:bookmarkStart w:id="8" w:name="_Ref339367275"/>
    </w:p>
    <w:p w14:paraId="695099BD">
      <w:pPr>
        <w:numPr>
          <w:ilvl w:val="0"/>
          <w:numId w:val="7"/>
        </w:numPr>
        <w:spacing w:after="0"/>
        <w:jc w:val="both"/>
        <w:rPr>
          <w:rFonts w:eastAsia="Batang"/>
          <w:szCs w:val="24"/>
          <w:lang w:val="en-US" w:eastAsia="zh-CN"/>
        </w:rPr>
      </w:pPr>
      <w:r>
        <w:rPr>
          <w:rFonts w:eastAsia="Batang"/>
          <w:szCs w:val="24"/>
          <w:lang w:val="en-US" w:eastAsia="zh-CN"/>
        </w:rPr>
        <w:t xml:space="preserve">RP-251881, “New SID: Study on 6G Radio”, 3GPP TSG RAN meeting #108, Prague, Czech Republic, June 9-13, 2025. </w:t>
      </w:r>
      <w:bookmarkEnd w:id="8"/>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Segoe Print"/>
    <w:panose1 w:val="02030600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Segoe Print"/>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howingPlcHdr/>
    </w:sdtPr>
    <w:sdtContent>
      <w:p w14:paraId="0E659F2D">
        <w:pPr>
          <w:pStyle w:val="37"/>
          <w:jc w:val="right"/>
        </w:pPr>
        <w:r>
          <w:t xml:space="preserve">     </w:t>
        </w:r>
      </w:p>
    </w:sdtContent>
  </w:sdt>
  <w:p w14:paraId="6B983F63">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DC6DF">
    <w:pPr>
      <w:pStyle w:val="38"/>
      <w:jc w:val="right"/>
    </w:pPr>
  </w:p>
  <w:p w14:paraId="1C4346A2">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A060C">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5E872652"/>
    <w:multiLevelType w:val="multilevel"/>
    <w:tmpl w:val="5E872652"/>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3"/>
  </w:num>
  <w:num w:numId="4">
    <w:abstractNumId w:val="1"/>
    <w:lvlOverride w:ilvl="0">
      <w:startOverride w:val="1"/>
    </w:lvlOverride>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8D"/>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3F"/>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02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CB9"/>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5BB"/>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5B9"/>
    <w:rsid w:val="00753672"/>
    <w:rsid w:val="00753851"/>
    <w:rsid w:val="00753ED2"/>
    <w:rsid w:val="00754010"/>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5F4D"/>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D7ED3"/>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8CA"/>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7F"/>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035"/>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6F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24E"/>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522"/>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CE3A0A"/>
    <w:rsid w:val="02225B04"/>
    <w:rsid w:val="03795BF7"/>
    <w:rsid w:val="03FB278F"/>
    <w:rsid w:val="04043AA5"/>
    <w:rsid w:val="0797780E"/>
    <w:rsid w:val="09C120A6"/>
    <w:rsid w:val="0BAF12E2"/>
    <w:rsid w:val="0C037822"/>
    <w:rsid w:val="0C8B38AF"/>
    <w:rsid w:val="0CC81D9A"/>
    <w:rsid w:val="0D207768"/>
    <w:rsid w:val="0DDF1B80"/>
    <w:rsid w:val="0F7D25CB"/>
    <w:rsid w:val="0F825E34"/>
    <w:rsid w:val="0FF07241"/>
    <w:rsid w:val="10303AE2"/>
    <w:rsid w:val="10833C11"/>
    <w:rsid w:val="11115CFE"/>
    <w:rsid w:val="111451B1"/>
    <w:rsid w:val="13123999"/>
    <w:rsid w:val="142B6A9A"/>
    <w:rsid w:val="15DB004C"/>
    <w:rsid w:val="18110C4E"/>
    <w:rsid w:val="196B281A"/>
    <w:rsid w:val="197902A7"/>
    <w:rsid w:val="1C07255E"/>
    <w:rsid w:val="1C5D17BA"/>
    <w:rsid w:val="1CC60E82"/>
    <w:rsid w:val="1D752B34"/>
    <w:rsid w:val="1DD34FBD"/>
    <w:rsid w:val="1FF67F37"/>
    <w:rsid w:val="20B120D5"/>
    <w:rsid w:val="247243E2"/>
    <w:rsid w:val="256911D0"/>
    <w:rsid w:val="257F27A2"/>
    <w:rsid w:val="25A739E7"/>
    <w:rsid w:val="25A955B9"/>
    <w:rsid w:val="260B1761"/>
    <w:rsid w:val="266204DF"/>
    <w:rsid w:val="281F64BE"/>
    <w:rsid w:val="291C47AB"/>
    <w:rsid w:val="296A2D2B"/>
    <w:rsid w:val="29892641"/>
    <w:rsid w:val="2E7E2FE0"/>
    <w:rsid w:val="2EAC0272"/>
    <w:rsid w:val="2F3578F8"/>
    <w:rsid w:val="2FC20844"/>
    <w:rsid w:val="2FC260AC"/>
    <w:rsid w:val="300E7B64"/>
    <w:rsid w:val="30A34C19"/>
    <w:rsid w:val="30D8545C"/>
    <w:rsid w:val="31CA7D66"/>
    <w:rsid w:val="322B7360"/>
    <w:rsid w:val="32BF4B25"/>
    <w:rsid w:val="335C6818"/>
    <w:rsid w:val="33F56325"/>
    <w:rsid w:val="34120C85"/>
    <w:rsid w:val="348370C2"/>
    <w:rsid w:val="34CF3538"/>
    <w:rsid w:val="34D50630"/>
    <w:rsid w:val="356C1443"/>
    <w:rsid w:val="359D535A"/>
    <w:rsid w:val="361D4A43"/>
    <w:rsid w:val="388365F5"/>
    <w:rsid w:val="394A36D8"/>
    <w:rsid w:val="397A19C7"/>
    <w:rsid w:val="39CA795C"/>
    <w:rsid w:val="3B5F53B1"/>
    <w:rsid w:val="3C2809C3"/>
    <w:rsid w:val="3D64435D"/>
    <w:rsid w:val="3D83082F"/>
    <w:rsid w:val="3EC51715"/>
    <w:rsid w:val="3F3B47C8"/>
    <w:rsid w:val="3F3E85CE"/>
    <w:rsid w:val="3F7FE7A1"/>
    <w:rsid w:val="3F917849"/>
    <w:rsid w:val="3FBFFC9E"/>
    <w:rsid w:val="40AC78E1"/>
    <w:rsid w:val="40F734B0"/>
    <w:rsid w:val="422D1840"/>
    <w:rsid w:val="4255690C"/>
    <w:rsid w:val="43816589"/>
    <w:rsid w:val="454A59EF"/>
    <w:rsid w:val="46744DE3"/>
    <w:rsid w:val="47330D5C"/>
    <w:rsid w:val="48D95F18"/>
    <w:rsid w:val="48DEA448"/>
    <w:rsid w:val="4A2A3594"/>
    <w:rsid w:val="4A5A61D6"/>
    <w:rsid w:val="4AF866D0"/>
    <w:rsid w:val="4BDF4A85"/>
    <w:rsid w:val="4D76130C"/>
    <w:rsid w:val="4D770B5F"/>
    <w:rsid w:val="4DC46900"/>
    <w:rsid w:val="4EDC4771"/>
    <w:rsid w:val="50AF5D81"/>
    <w:rsid w:val="5211319D"/>
    <w:rsid w:val="54CD1601"/>
    <w:rsid w:val="54D02699"/>
    <w:rsid w:val="550F5041"/>
    <w:rsid w:val="5563538C"/>
    <w:rsid w:val="56E352D7"/>
    <w:rsid w:val="570109B9"/>
    <w:rsid w:val="57295971"/>
    <w:rsid w:val="57FFEC3F"/>
    <w:rsid w:val="5852253F"/>
    <w:rsid w:val="589C6BEB"/>
    <w:rsid w:val="5B242EC8"/>
    <w:rsid w:val="5DF55733"/>
    <w:rsid w:val="5EAA25F6"/>
    <w:rsid w:val="5ECA3B20"/>
    <w:rsid w:val="5F1576F7"/>
    <w:rsid w:val="5F2ED3F3"/>
    <w:rsid w:val="5FE9AF6C"/>
    <w:rsid w:val="60673F83"/>
    <w:rsid w:val="60C54361"/>
    <w:rsid w:val="617A1A94"/>
    <w:rsid w:val="61B910C0"/>
    <w:rsid w:val="6277164E"/>
    <w:rsid w:val="62E23D94"/>
    <w:rsid w:val="63A775F2"/>
    <w:rsid w:val="64852C29"/>
    <w:rsid w:val="64A62BA0"/>
    <w:rsid w:val="65B03B33"/>
    <w:rsid w:val="676A25AA"/>
    <w:rsid w:val="67BB8C86"/>
    <w:rsid w:val="6ACF2F02"/>
    <w:rsid w:val="6B1135A2"/>
    <w:rsid w:val="6B621F16"/>
    <w:rsid w:val="6BF74B9B"/>
    <w:rsid w:val="6C757A27"/>
    <w:rsid w:val="6C794D74"/>
    <w:rsid w:val="6CA25E99"/>
    <w:rsid w:val="6D2A0812"/>
    <w:rsid w:val="6DA7FE57"/>
    <w:rsid w:val="6E0472B5"/>
    <w:rsid w:val="6E4476B1"/>
    <w:rsid w:val="6EA533C0"/>
    <w:rsid w:val="6EED7B73"/>
    <w:rsid w:val="6FE7F6C2"/>
    <w:rsid w:val="6FFF7BD4"/>
    <w:rsid w:val="700E61C9"/>
    <w:rsid w:val="713F71FD"/>
    <w:rsid w:val="72492030"/>
    <w:rsid w:val="73BF56F0"/>
    <w:rsid w:val="73C6476D"/>
    <w:rsid w:val="73C80282"/>
    <w:rsid w:val="73FF4E14"/>
    <w:rsid w:val="742D382A"/>
    <w:rsid w:val="74FE7B26"/>
    <w:rsid w:val="764B35A7"/>
    <w:rsid w:val="77884AB3"/>
    <w:rsid w:val="77BF1422"/>
    <w:rsid w:val="77F7488E"/>
    <w:rsid w:val="79BC6C95"/>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标题 1 字符"/>
    <w:link w:val="2"/>
    <w:qFormat/>
    <w:locked/>
    <w:uiPriority w:val="0"/>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修订3"/>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2</Pages>
  <Words>647</Words>
  <Characters>3810</Characters>
  <Lines>56</Lines>
  <Paragraphs>15</Paragraphs>
  <TotalTime>1191</TotalTime>
  <ScaleCrop>false</ScaleCrop>
  <LinksUpToDate>false</LinksUpToDate>
  <CharactersWithSpaces>4463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2025-06-02T06:18:00Z</dcterms:created>
  <dc:creator>CMCC</dc:creator>
  <cp:lastModifiedBy>Kimi.Hwang</cp:lastModifiedBy>
  <cp:lastPrinted>2013-04-04T02:18:00Z</cp:lastPrinted>
  <dcterms:modified xsi:type="dcterms:W3CDTF">2025-09-03T10:26:08Z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2052-12.1.0.22529</vt:lpwstr>
  </property>
  <property fmtid="{D5CDD505-2E9C-101B-9397-08002B2CF9AE}" pid="4" name="ICV">
    <vt:lpwstr>E823AAE6AE5F4DAE98997E5DD02A3AF3_13</vt:lpwstr>
  </property>
  <property fmtid="{D5CDD505-2E9C-101B-9397-08002B2CF9AE}" pid="5" name="KSOTemplateDocerSaveRecord">
    <vt:lpwstr>eyJoZGlkIjoiYTJhM2ZiMjhkZDI5ZDQ4ZjE5NmUwNDkwYjI1ODA5NzgiLCJ1c2VySWQiOiI2ODMyNzE2NTAifQ==</vt:lpwstr>
  </property>
</Properties>
</file>